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111" w:rsidRPr="008264DD" w:rsidRDefault="0071390C" w:rsidP="008264DD">
      <w:pPr>
        <w:rPr>
          <w:rFonts w:asciiTheme="minorBidi" w:hAnsiTheme="minorBidi"/>
          <w:sz w:val="20"/>
          <w:szCs w:val="20"/>
        </w:rPr>
      </w:pPr>
      <w:r w:rsidRPr="00F43011">
        <w:rPr>
          <w:rFonts w:asciiTheme="minorBidi" w:hAnsiTheme="minorBidi"/>
          <w:b/>
          <w:bCs/>
          <w:i/>
          <w:iCs/>
        </w:rPr>
        <w:t>Brexit</w:t>
      </w:r>
      <w:r w:rsidRPr="00F43011">
        <w:rPr>
          <w:rFonts w:asciiTheme="minorBidi" w:hAnsiTheme="minorBidi"/>
          <w:b/>
          <w:bCs/>
        </w:rPr>
        <w:t>: The marine governance horrendogram just got more horrendous!</w:t>
      </w:r>
      <w:r w:rsidR="008264DD">
        <w:rPr>
          <w:rFonts w:asciiTheme="minorBidi" w:hAnsiTheme="minorBidi"/>
          <w:b/>
          <w:bCs/>
        </w:rPr>
        <w:br/>
      </w:r>
      <w:r w:rsidR="008264DD" w:rsidRPr="008264DD">
        <w:rPr>
          <w:rFonts w:asciiTheme="minorBidi" w:hAnsiTheme="minorBidi"/>
          <w:sz w:val="20"/>
          <w:szCs w:val="20"/>
        </w:rPr>
        <w:t>Sue Boyes &amp; Mike Elliott, Institute of Estuarine and Coastal Studies</w:t>
      </w:r>
      <w:r w:rsidR="006F1955">
        <w:rPr>
          <w:rFonts w:asciiTheme="minorBidi" w:hAnsiTheme="minorBidi"/>
          <w:sz w:val="20"/>
          <w:szCs w:val="20"/>
        </w:rPr>
        <w:t xml:space="preserve"> (IECS)</w:t>
      </w:r>
      <w:r w:rsidR="008264DD" w:rsidRPr="008264DD">
        <w:rPr>
          <w:rFonts w:asciiTheme="minorBidi" w:hAnsiTheme="minorBidi"/>
          <w:sz w:val="20"/>
          <w:szCs w:val="20"/>
        </w:rPr>
        <w:t>, University of Hull</w:t>
      </w:r>
    </w:p>
    <w:p w:rsidR="0071390C" w:rsidRPr="004F30E7" w:rsidRDefault="0071390C" w:rsidP="006F1955">
      <w:pPr>
        <w:jc w:val="both"/>
        <w:rPr>
          <w:rFonts w:asciiTheme="minorBidi" w:hAnsiTheme="minorBidi"/>
        </w:rPr>
      </w:pPr>
      <w:r w:rsidRPr="004F30E7">
        <w:rPr>
          <w:rFonts w:asciiTheme="minorBidi" w:hAnsiTheme="minorBidi"/>
        </w:rPr>
        <w:t>On 23</w:t>
      </w:r>
      <w:r w:rsidRPr="004F30E7">
        <w:rPr>
          <w:rFonts w:asciiTheme="minorBidi" w:hAnsiTheme="minorBidi"/>
          <w:vertAlign w:val="superscript"/>
        </w:rPr>
        <w:t>rd</w:t>
      </w:r>
      <w:r w:rsidRPr="004F30E7">
        <w:rPr>
          <w:rFonts w:asciiTheme="minorBidi" w:hAnsiTheme="minorBidi"/>
        </w:rPr>
        <w:t xml:space="preserve"> June 2016, the British people voted in a</w:t>
      </w:r>
      <w:r w:rsidR="00F43011" w:rsidRPr="004F30E7">
        <w:rPr>
          <w:rFonts w:asciiTheme="minorBidi" w:hAnsiTheme="minorBidi"/>
        </w:rPr>
        <w:t xml:space="preserve"> historic</w:t>
      </w:r>
      <w:r w:rsidRPr="004F30E7">
        <w:rPr>
          <w:rFonts w:asciiTheme="minorBidi" w:hAnsiTheme="minorBidi"/>
        </w:rPr>
        <w:t xml:space="preserve"> referendum on the following question: </w:t>
      </w:r>
      <w:r w:rsidRPr="004F30E7">
        <w:rPr>
          <w:rFonts w:asciiTheme="minorBidi" w:hAnsiTheme="minorBidi"/>
          <w:i/>
          <w:iCs/>
        </w:rPr>
        <w:t>‘Should the United Kingdom remain a member of the European Union or leave the European Union?’</w:t>
      </w:r>
      <w:r w:rsidRPr="004F30E7">
        <w:rPr>
          <w:rFonts w:asciiTheme="minorBidi" w:hAnsiTheme="minorBidi"/>
        </w:rPr>
        <w:t xml:space="preserve"> Of the 33,551,983 who voted, 51.9% (17,410,742) voted to leave. </w:t>
      </w:r>
      <w:r w:rsidR="004F30E7" w:rsidRPr="004F30E7">
        <w:rPr>
          <w:rFonts w:asciiTheme="minorBidi" w:hAnsiTheme="minorBidi"/>
          <w:i/>
          <w:iCs/>
        </w:rPr>
        <w:t>Brexit</w:t>
      </w:r>
      <w:r w:rsidR="004F30E7" w:rsidRPr="004F30E7">
        <w:rPr>
          <w:rFonts w:asciiTheme="minorBidi" w:hAnsiTheme="minorBidi"/>
        </w:rPr>
        <w:t xml:space="preserve"> was not a </w:t>
      </w:r>
      <w:r w:rsidR="008264DD">
        <w:rPr>
          <w:rFonts w:asciiTheme="minorBidi" w:hAnsiTheme="minorBidi"/>
        </w:rPr>
        <w:t>result</w:t>
      </w:r>
      <w:r w:rsidR="004F30E7" w:rsidRPr="004F30E7">
        <w:rPr>
          <w:rFonts w:asciiTheme="minorBidi" w:hAnsiTheme="minorBidi"/>
        </w:rPr>
        <w:t xml:space="preserve"> many involved in the management, governance and research of the marine environment </w:t>
      </w:r>
      <w:r w:rsidR="008264DD">
        <w:rPr>
          <w:rFonts w:asciiTheme="minorBidi" w:hAnsiTheme="minorBidi"/>
        </w:rPr>
        <w:t xml:space="preserve">hoped to or </w:t>
      </w:r>
      <w:r w:rsidR="004F30E7" w:rsidRPr="004F30E7">
        <w:rPr>
          <w:rFonts w:asciiTheme="minorBidi" w:hAnsiTheme="minorBidi"/>
        </w:rPr>
        <w:t xml:space="preserve">expected </w:t>
      </w:r>
      <w:r w:rsidR="006F1955">
        <w:rPr>
          <w:rFonts w:asciiTheme="minorBidi" w:hAnsiTheme="minorBidi"/>
        </w:rPr>
        <w:t>to</w:t>
      </w:r>
      <w:r w:rsidR="008264DD">
        <w:rPr>
          <w:rFonts w:asciiTheme="minorBidi" w:hAnsiTheme="minorBidi"/>
        </w:rPr>
        <w:t xml:space="preserve"> </w:t>
      </w:r>
      <w:r w:rsidR="00D91612">
        <w:rPr>
          <w:rFonts w:asciiTheme="minorBidi" w:hAnsiTheme="minorBidi"/>
        </w:rPr>
        <w:t>happen</w:t>
      </w:r>
      <w:r w:rsidR="004F30E7" w:rsidRPr="004F30E7">
        <w:rPr>
          <w:rFonts w:asciiTheme="minorBidi" w:hAnsiTheme="minorBidi"/>
        </w:rPr>
        <w:t xml:space="preserve">. However now it has, the UK needs to decide </w:t>
      </w:r>
      <w:r w:rsidR="008264DD">
        <w:rPr>
          <w:rFonts w:asciiTheme="minorBidi" w:hAnsiTheme="minorBidi"/>
        </w:rPr>
        <w:t xml:space="preserve">on </w:t>
      </w:r>
      <w:r w:rsidR="004F30E7" w:rsidRPr="004F30E7">
        <w:rPr>
          <w:rFonts w:asciiTheme="minorBidi" w:hAnsiTheme="minorBidi"/>
        </w:rPr>
        <w:t>how it will proceed and h</w:t>
      </w:r>
      <w:r w:rsidR="0011481C" w:rsidRPr="004F30E7">
        <w:rPr>
          <w:rFonts w:asciiTheme="minorBidi" w:hAnsiTheme="minorBidi"/>
        </w:rPr>
        <w:t xml:space="preserve">ow </w:t>
      </w:r>
      <w:r w:rsidR="004F30E7">
        <w:rPr>
          <w:rFonts w:asciiTheme="minorBidi" w:hAnsiTheme="minorBidi"/>
        </w:rPr>
        <w:t>this situation will a</w:t>
      </w:r>
      <w:r w:rsidR="0011481C" w:rsidRPr="004F30E7">
        <w:rPr>
          <w:rFonts w:asciiTheme="minorBidi" w:hAnsiTheme="minorBidi"/>
        </w:rPr>
        <w:t>ffect our legislation, laws and ability to ma</w:t>
      </w:r>
      <w:r w:rsidR="004F30E7" w:rsidRPr="004F30E7">
        <w:rPr>
          <w:rFonts w:asciiTheme="minorBidi" w:hAnsiTheme="minorBidi"/>
        </w:rPr>
        <w:t xml:space="preserve">nage </w:t>
      </w:r>
      <w:r w:rsidR="004F30E7">
        <w:rPr>
          <w:rFonts w:asciiTheme="minorBidi" w:hAnsiTheme="minorBidi"/>
        </w:rPr>
        <w:t xml:space="preserve">the UK </w:t>
      </w:r>
      <w:r w:rsidR="004F30E7" w:rsidRPr="004F30E7">
        <w:rPr>
          <w:rFonts w:asciiTheme="minorBidi" w:hAnsiTheme="minorBidi"/>
        </w:rPr>
        <w:t>marine environment</w:t>
      </w:r>
      <w:r w:rsidR="008264DD">
        <w:rPr>
          <w:rFonts w:asciiTheme="minorBidi" w:hAnsiTheme="minorBidi"/>
        </w:rPr>
        <w:t xml:space="preserve"> in a future outside of Europe</w:t>
      </w:r>
      <w:r w:rsidR="004F30E7" w:rsidRPr="004F30E7">
        <w:rPr>
          <w:rFonts w:asciiTheme="minorBidi" w:hAnsiTheme="minorBidi"/>
        </w:rPr>
        <w:t>.</w:t>
      </w:r>
    </w:p>
    <w:p w:rsidR="00F43011" w:rsidRPr="004F30E7" w:rsidRDefault="00F43011" w:rsidP="006F1955">
      <w:pPr>
        <w:jc w:val="both"/>
        <w:rPr>
          <w:rFonts w:asciiTheme="minorBidi" w:hAnsiTheme="minorBidi"/>
        </w:rPr>
      </w:pPr>
      <w:r w:rsidRPr="004F30E7">
        <w:rPr>
          <w:rFonts w:asciiTheme="minorBidi" w:hAnsiTheme="minorBidi"/>
        </w:rPr>
        <w:t xml:space="preserve">At present, regulations and </w:t>
      </w:r>
      <w:r w:rsidR="0071390C" w:rsidRPr="004F30E7">
        <w:rPr>
          <w:rFonts w:asciiTheme="minorBidi" w:hAnsiTheme="minorBidi"/>
        </w:rPr>
        <w:t>directives come direct from the Commission. Regulations are put straight into practice, whereas directives requir</w:t>
      </w:r>
      <w:r w:rsidR="0011481C" w:rsidRPr="004F30E7">
        <w:rPr>
          <w:rFonts w:asciiTheme="minorBidi" w:hAnsiTheme="minorBidi"/>
        </w:rPr>
        <w:t>e</w:t>
      </w:r>
      <w:r w:rsidR="0071390C" w:rsidRPr="004F30E7">
        <w:rPr>
          <w:rFonts w:asciiTheme="minorBidi" w:hAnsiTheme="minorBidi"/>
        </w:rPr>
        <w:t xml:space="preserve"> implementing legislation to </w:t>
      </w:r>
      <w:r w:rsidR="0011481C" w:rsidRPr="004F30E7">
        <w:rPr>
          <w:rFonts w:asciiTheme="minorBidi" w:hAnsiTheme="minorBidi"/>
        </w:rPr>
        <w:t xml:space="preserve">enact </w:t>
      </w:r>
      <w:r w:rsidR="0071390C" w:rsidRPr="004F30E7">
        <w:rPr>
          <w:rFonts w:asciiTheme="minorBidi" w:hAnsiTheme="minorBidi"/>
        </w:rPr>
        <w:t xml:space="preserve">into </w:t>
      </w:r>
      <w:r w:rsidR="008264DD">
        <w:rPr>
          <w:rFonts w:asciiTheme="minorBidi" w:hAnsiTheme="minorBidi"/>
        </w:rPr>
        <w:t>national</w:t>
      </w:r>
      <w:r w:rsidR="0071390C" w:rsidRPr="004F30E7">
        <w:rPr>
          <w:rFonts w:asciiTheme="minorBidi" w:hAnsiTheme="minorBidi"/>
        </w:rPr>
        <w:t xml:space="preserve"> law. </w:t>
      </w:r>
      <w:r w:rsidRPr="004F30E7">
        <w:rPr>
          <w:rFonts w:asciiTheme="minorBidi" w:hAnsiTheme="minorBidi"/>
        </w:rPr>
        <w:t xml:space="preserve">With over 40 years </w:t>
      </w:r>
      <w:r w:rsidR="008264DD">
        <w:rPr>
          <w:rFonts w:asciiTheme="minorBidi" w:hAnsiTheme="minorBidi"/>
        </w:rPr>
        <w:t>within</w:t>
      </w:r>
      <w:r w:rsidRPr="004F30E7">
        <w:rPr>
          <w:rFonts w:asciiTheme="minorBidi" w:hAnsiTheme="minorBidi"/>
        </w:rPr>
        <w:t xml:space="preserve"> the EU and its predecessor the EEC, there is a close integration between UK legislation and EU and International environmental law. The horrendogram (Fig. 1) adapted from Boyes &amp; Elliott (2014) demons</w:t>
      </w:r>
      <w:bookmarkStart w:id="0" w:name="_GoBack"/>
      <w:bookmarkEnd w:id="0"/>
      <w:r w:rsidRPr="004F30E7">
        <w:rPr>
          <w:rFonts w:asciiTheme="minorBidi" w:hAnsiTheme="minorBidi"/>
        </w:rPr>
        <w:t xml:space="preserve">trates the </w:t>
      </w:r>
      <w:r w:rsidR="0011481C" w:rsidRPr="004F30E7">
        <w:rPr>
          <w:rFonts w:asciiTheme="minorBidi" w:hAnsiTheme="minorBidi"/>
        </w:rPr>
        <w:t>amount</w:t>
      </w:r>
      <w:r w:rsidRPr="004F30E7">
        <w:rPr>
          <w:rFonts w:asciiTheme="minorBidi" w:hAnsiTheme="minorBidi"/>
        </w:rPr>
        <w:t xml:space="preserve"> of UK l</w:t>
      </w:r>
      <w:r w:rsidR="00D91612">
        <w:rPr>
          <w:rFonts w:asciiTheme="minorBidi" w:hAnsiTheme="minorBidi"/>
        </w:rPr>
        <w:t>aws</w:t>
      </w:r>
      <w:r w:rsidRPr="004F30E7">
        <w:rPr>
          <w:rFonts w:asciiTheme="minorBidi" w:hAnsiTheme="minorBidi"/>
        </w:rPr>
        <w:t xml:space="preserve"> implementing marine related European directives (20 regulations covering 20 different marine pressures) enacted through the European Communities Act 1972 (which incorporates the provisions of the EU treaties into UK law). This is in contrast to primary Acts of </w:t>
      </w:r>
      <w:r w:rsidR="008264DD">
        <w:rPr>
          <w:rFonts w:asciiTheme="minorBidi" w:hAnsiTheme="minorBidi"/>
        </w:rPr>
        <w:t>P</w:t>
      </w:r>
      <w:r w:rsidRPr="004F30E7">
        <w:rPr>
          <w:rFonts w:asciiTheme="minorBidi" w:hAnsiTheme="minorBidi"/>
        </w:rPr>
        <w:t xml:space="preserve">arliament </w:t>
      </w:r>
      <w:r w:rsidR="006F1955">
        <w:rPr>
          <w:rFonts w:asciiTheme="minorBidi" w:hAnsiTheme="minorBidi"/>
        </w:rPr>
        <w:t xml:space="preserve">(grey boxes) </w:t>
      </w:r>
      <w:r w:rsidRPr="004F30E7">
        <w:rPr>
          <w:rFonts w:asciiTheme="minorBidi" w:hAnsiTheme="minorBidi"/>
        </w:rPr>
        <w:t xml:space="preserve">made to address national policy objectives (18 Acts covering just 8 different policy areas of planning, harbour developments, conservation, archaeology, energy, flooding, marine licensing and fisheries). Key pieces of UK legislation such as the Wildlife and Countryside Act, 1981 (as amended) and the Marine and Coastal Access Act (MCAA) 2009 </w:t>
      </w:r>
      <w:r w:rsidR="008264DD">
        <w:rPr>
          <w:rFonts w:asciiTheme="minorBidi" w:hAnsiTheme="minorBidi"/>
        </w:rPr>
        <w:t xml:space="preserve">will </w:t>
      </w:r>
      <w:r w:rsidRPr="004F30E7">
        <w:rPr>
          <w:rFonts w:asciiTheme="minorBidi" w:hAnsiTheme="minorBidi"/>
        </w:rPr>
        <w:t xml:space="preserve">still </w:t>
      </w:r>
      <w:r w:rsidR="008264DD">
        <w:rPr>
          <w:rFonts w:asciiTheme="minorBidi" w:hAnsiTheme="minorBidi"/>
        </w:rPr>
        <w:t>form i</w:t>
      </w:r>
      <w:r w:rsidRPr="004F30E7">
        <w:rPr>
          <w:rFonts w:asciiTheme="minorBidi" w:hAnsiTheme="minorBidi"/>
        </w:rPr>
        <w:t xml:space="preserve">mportant pieces of </w:t>
      </w:r>
      <w:r w:rsidR="001A0FA0">
        <w:rPr>
          <w:rFonts w:asciiTheme="minorBidi" w:hAnsiTheme="minorBidi"/>
        </w:rPr>
        <w:t xml:space="preserve">primary </w:t>
      </w:r>
      <w:r w:rsidRPr="004F30E7">
        <w:rPr>
          <w:rFonts w:asciiTheme="minorBidi" w:hAnsiTheme="minorBidi"/>
        </w:rPr>
        <w:t>legislation protecting and managing the marine environment.</w:t>
      </w:r>
      <w:r w:rsidR="008264DD">
        <w:rPr>
          <w:rFonts w:asciiTheme="minorBidi" w:hAnsiTheme="minorBidi"/>
        </w:rPr>
        <w:t xml:space="preserve"> </w:t>
      </w:r>
      <w:r w:rsidR="001A0FA0">
        <w:rPr>
          <w:rFonts w:asciiTheme="minorBidi" w:hAnsiTheme="minorBidi"/>
        </w:rPr>
        <w:t xml:space="preserve">Together </w:t>
      </w:r>
      <w:r w:rsidR="008264DD">
        <w:rPr>
          <w:rFonts w:asciiTheme="minorBidi" w:hAnsiTheme="minorBidi"/>
        </w:rPr>
        <w:t xml:space="preserve">with the </w:t>
      </w:r>
      <w:r w:rsidR="0011481C" w:rsidRPr="004F30E7">
        <w:rPr>
          <w:rFonts w:asciiTheme="minorBidi" w:hAnsiTheme="minorBidi"/>
        </w:rPr>
        <w:t xml:space="preserve">Marine Policy Statement (MPS) </w:t>
      </w:r>
      <w:r w:rsidR="008264DD" w:rsidRPr="004F30E7">
        <w:rPr>
          <w:rFonts w:asciiTheme="minorBidi" w:hAnsiTheme="minorBidi"/>
        </w:rPr>
        <w:t>adopted by all the devolved administrations (Scotland, Wales and Northern Ireland)</w:t>
      </w:r>
      <w:r w:rsidR="008264DD">
        <w:rPr>
          <w:rFonts w:asciiTheme="minorBidi" w:hAnsiTheme="minorBidi"/>
        </w:rPr>
        <w:t xml:space="preserve">, </w:t>
      </w:r>
      <w:r w:rsidR="0011481C" w:rsidRPr="004F30E7">
        <w:rPr>
          <w:rFonts w:asciiTheme="minorBidi" w:hAnsiTheme="minorBidi"/>
        </w:rPr>
        <w:t>which sets out a vision for the UK marine environment through objectives and policy areas</w:t>
      </w:r>
      <w:r w:rsidR="008264DD">
        <w:rPr>
          <w:rFonts w:asciiTheme="minorBidi" w:hAnsiTheme="minorBidi"/>
        </w:rPr>
        <w:t xml:space="preserve">, it is unlikely </w:t>
      </w:r>
      <w:r w:rsidR="0011481C" w:rsidRPr="004F30E7">
        <w:rPr>
          <w:rFonts w:asciiTheme="minorBidi" w:hAnsiTheme="minorBidi"/>
        </w:rPr>
        <w:t xml:space="preserve">these marine policy </w:t>
      </w:r>
      <w:r w:rsidR="001A0FA0">
        <w:rPr>
          <w:rFonts w:asciiTheme="minorBidi" w:hAnsiTheme="minorBidi"/>
        </w:rPr>
        <w:t>instruments</w:t>
      </w:r>
      <w:r w:rsidR="001A0FA0" w:rsidRPr="004F30E7">
        <w:rPr>
          <w:rFonts w:asciiTheme="minorBidi" w:hAnsiTheme="minorBidi"/>
        </w:rPr>
        <w:t xml:space="preserve"> </w:t>
      </w:r>
      <w:r w:rsidR="0011481C" w:rsidRPr="004F30E7">
        <w:rPr>
          <w:rFonts w:asciiTheme="minorBidi" w:hAnsiTheme="minorBidi"/>
        </w:rPr>
        <w:t xml:space="preserve">will change in the </w:t>
      </w:r>
      <w:r w:rsidR="001A0FA0">
        <w:rPr>
          <w:rFonts w:asciiTheme="minorBidi" w:hAnsiTheme="minorBidi"/>
        </w:rPr>
        <w:t>near</w:t>
      </w:r>
      <w:r w:rsidR="0011481C" w:rsidRPr="004F30E7">
        <w:rPr>
          <w:rFonts w:asciiTheme="minorBidi" w:hAnsiTheme="minorBidi"/>
        </w:rPr>
        <w:t xml:space="preserve"> future </w:t>
      </w:r>
      <w:r w:rsidR="006F1955">
        <w:rPr>
          <w:rFonts w:asciiTheme="minorBidi" w:hAnsiTheme="minorBidi"/>
        </w:rPr>
        <w:t>but</w:t>
      </w:r>
      <w:r w:rsidR="0011481C" w:rsidRPr="004F30E7">
        <w:rPr>
          <w:rFonts w:asciiTheme="minorBidi" w:hAnsiTheme="minorBidi"/>
        </w:rPr>
        <w:t xml:space="preserve"> will remain in place until </w:t>
      </w:r>
      <w:r w:rsidR="008264DD">
        <w:rPr>
          <w:rFonts w:asciiTheme="minorBidi" w:hAnsiTheme="minorBidi"/>
        </w:rPr>
        <w:t>they are</w:t>
      </w:r>
      <w:r w:rsidR="0011481C" w:rsidRPr="004F30E7">
        <w:rPr>
          <w:rFonts w:asciiTheme="minorBidi" w:hAnsiTheme="minorBidi"/>
        </w:rPr>
        <w:t xml:space="preserve"> withdrawn, amended or replaced.</w:t>
      </w:r>
    </w:p>
    <w:p w:rsidR="00DE5F3D" w:rsidRDefault="0011481C" w:rsidP="00D91612">
      <w:pPr>
        <w:jc w:val="both"/>
        <w:rPr>
          <w:rFonts w:asciiTheme="minorBidi" w:hAnsiTheme="minorBidi"/>
        </w:rPr>
      </w:pPr>
      <w:r w:rsidRPr="004F30E7">
        <w:rPr>
          <w:rFonts w:asciiTheme="minorBidi" w:hAnsiTheme="minorBidi"/>
        </w:rPr>
        <w:t>Once Article 50 of the Lisbon Treaty has been invoked, the UK has two years in which to negotiate our exit and reformulate its relationship with the rest of the Europe</w:t>
      </w:r>
      <w:r w:rsidRPr="004F30E7">
        <w:rPr>
          <w:rStyle w:val="FootnoteReference"/>
          <w:rFonts w:asciiTheme="minorBidi" w:hAnsiTheme="minorBidi"/>
        </w:rPr>
        <w:footnoteReference w:id="1"/>
      </w:r>
      <w:r w:rsidRPr="004F30E7">
        <w:rPr>
          <w:rFonts w:asciiTheme="minorBidi" w:hAnsiTheme="minorBidi"/>
        </w:rPr>
        <w:t xml:space="preserve">. </w:t>
      </w:r>
      <w:r w:rsidR="0071390C" w:rsidRPr="004F30E7">
        <w:rPr>
          <w:rFonts w:asciiTheme="minorBidi" w:hAnsiTheme="minorBidi"/>
        </w:rPr>
        <w:t xml:space="preserve">Following the two year negotiation period, all </w:t>
      </w:r>
      <w:r w:rsidR="004A7D26" w:rsidRPr="004F30E7">
        <w:rPr>
          <w:rFonts w:asciiTheme="minorBidi" w:hAnsiTheme="minorBidi"/>
        </w:rPr>
        <w:t xml:space="preserve">directly applicable EU law (e.g. EU </w:t>
      </w:r>
      <w:r w:rsidR="00F43011" w:rsidRPr="004F30E7">
        <w:rPr>
          <w:rFonts w:asciiTheme="minorBidi" w:hAnsiTheme="minorBidi"/>
        </w:rPr>
        <w:t>R</w:t>
      </w:r>
      <w:r w:rsidR="0071390C" w:rsidRPr="004F30E7">
        <w:rPr>
          <w:rFonts w:asciiTheme="minorBidi" w:hAnsiTheme="minorBidi"/>
        </w:rPr>
        <w:t>egulations</w:t>
      </w:r>
      <w:r w:rsidR="004A7D26" w:rsidRPr="004F30E7">
        <w:rPr>
          <w:rFonts w:asciiTheme="minorBidi" w:hAnsiTheme="minorBidi"/>
        </w:rPr>
        <w:t>)</w:t>
      </w:r>
      <w:r w:rsidR="0071390C" w:rsidRPr="004F30E7">
        <w:rPr>
          <w:rFonts w:asciiTheme="minorBidi" w:hAnsiTheme="minorBidi"/>
        </w:rPr>
        <w:t xml:space="preserve"> would have no direct application in UK law</w:t>
      </w:r>
      <w:r w:rsidR="004A7D26" w:rsidRPr="004F30E7">
        <w:rPr>
          <w:rFonts w:asciiTheme="minorBidi" w:hAnsiTheme="minorBidi"/>
        </w:rPr>
        <w:t xml:space="preserve"> and would have to be rewritten or copied into primary legislation</w:t>
      </w:r>
      <w:r w:rsidR="0071390C" w:rsidRPr="004F30E7">
        <w:rPr>
          <w:rFonts w:asciiTheme="minorBidi" w:hAnsiTheme="minorBidi"/>
        </w:rPr>
        <w:t xml:space="preserve">. </w:t>
      </w:r>
      <w:r w:rsidR="00F43011" w:rsidRPr="004F30E7">
        <w:rPr>
          <w:rFonts w:asciiTheme="minorBidi" w:hAnsiTheme="minorBidi"/>
        </w:rPr>
        <w:t xml:space="preserve">The most straightforward route with respect to existing </w:t>
      </w:r>
      <w:r w:rsidR="004A7D26" w:rsidRPr="004F30E7">
        <w:rPr>
          <w:rFonts w:asciiTheme="minorBidi" w:hAnsiTheme="minorBidi"/>
        </w:rPr>
        <w:t xml:space="preserve">secondary </w:t>
      </w:r>
      <w:r w:rsidR="00F43011" w:rsidRPr="004F30E7">
        <w:rPr>
          <w:rFonts w:asciiTheme="minorBidi" w:hAnsiTheme="minorBidi"/>
        </w:rPr>
        <w:t>environmental legislation enacting EU directives would be for the UK to adopt all relevant EU legislation as its own law</w:t>
      </w:r>
      <w:r w:rsidR="004A7D26" w:rsidRPr="004F30E7">
        <w:rPr>
          <w:rFonts w:asciiTheme="minorBidi" w:hAnsiTheme="minorBidi"/>
        </w:rPr>
        <w:t>,</w:t>
      </w:r>
      <w:r w:rsidR="00F43011" w:rsidRPr="004F30E7">
        <w:rPr>
          <w:rFonts w:asciiTheme="minorBidi" w:hAnsiTheme="minorBidi"/>
        </w:rPr>
        <w:t xml:space="preserve"> until such time as the relevant </w:t>
      </w:r>
      <w:r w:rsidR="004A7D26" w:rsidRPr="004F30E7">
        <w:rPr>
          <w:rFonts w:asciiTheme="minorBidi" w:hAnsiTheme="minorBidi"/>
        </w:rPr>
        <w:t xml:space="preserve">government </w:t>
      </w:r>
      <w:r w:rsidR="00F43011" w:rsidRPr="004F30E7">
        <w:rPr>
          <w:rFonts w:asciiTheme="minorBidi" w:hAnsiTheme="minorBidi"/>
        </w:rPr>
        <w:t xml:space="preserve">departments have had the opportunity to review and adopt their own legislation. </w:t>
      </w:r>
      <w:r w:rsidR="0071390C" w:rsidRPr="004F30E7">
        <w:rPr>
          <w:rFonts w:asciiTheme="minorBidi" w:hAnsiTheme="minorBidi"/>
        </w:rPr>
        <w:t xml:space="preserve">At the Conservative Party Conference (October 2016), </w:t>
      </w:r>
      <w:r w:rsidR="007A20EC" w:rsidRPr="004F30E7">
        <w:rPr>
          <w:rFonts w:asciiTheme="minorBidi" w:hAnsiTheme="minorBidi"/>
        </w:rPr>
        <w:t xml:space="preserve">the Prime Minister </w:t>
      </w:r>
      <w:r w:rsidR="0071390C" w:rsidRPr="004F30E7">
        <w:rPr>
          <w:rFonts w:asciiTheme="minorBidi" w:hAnsiTheme="minorBidi"/>
        </w:rPr>
        <w:t xml:space="preserve">Theresa May announced a Great Repeal Bill, which would repeal the European Communities Act 1972, ending the primacy of EU law in the UK. This Bill </w:t>
      </w:r>
      <w:r w:rsidR="004A7D26" w:rsidRPr="004F30E7">
        <w:rPr>
          <w:rFonts w:asciiTheme="minorBidi" w:hAnsiTheme="minorBidi"/>
        </w:rPr>
        <w:t xml:space="preserve">(to be announced in the next Queen’s Speech) </w:t>
      </w:r>
      <w:r w:rsidR="0071390C" w:rsidRPr="004F30E7">
        <w:rPr>
          <w:rFonts w:asciiTheme="minorBidi" w:hAnsiTheme="minorBidi"/>
        </w:rPr>
        <w:t>will transfer the body of EU law into UK legislation. It is understood that the environmental chapter of this Bill alone comprises over 200 legal acts including water and air quality, waste management, nature protection, industrial pollution control, chemicals and GMOs, noise and forestry.</w:t>
      </w:r>
      <w:r w:rsidR="00F43011" w:rsidRPr="004F30E7">
        <w:rPr>
          <w:rFonts w:asciiTheme="minorBidi" w:hAnsiTheme="minorBidi"/>
        </w:rPr>
        <w:t xml:space="preserve"> </w:t>
      </w:r>
    </w:p>
    <w:p w:rsidR="0011481C" w:rsidRDefault="001A0FA0" w:rsidP="008264DD">
      <w:pPr>
        <w:jc w:val="both"/>
        <w:rPr>
          <w:rFonts w:asciiTheme="minorBidi" w:hAnsiTheme="minorBidi"/>
          <w:sz w:val="20"/>
          <w:szCs w:val="20"/>
        </w:rPr>
      </w:pPr>
      <w:r>
        <w:rPr>
          <w:rFonts w:asciiTheme="minorBidi" w:hAnsiTheme="minorBidi"/>
        </w:rPr>
        <w:t>Perhaps the most important change will be that the UK is not bound by the European Court of Justice</w:t>
      </w:r>
      <w:r w:rsidR="00DE5F3D">
        <w:rPr>
          <w:rFonts w:asciiTheme="minorBidi" w:hAnsiTheme="minorBidi"/>
        </w:rPr>
        <w:t xml:space="preserve"> and so not liable to infraction proceedings for infringing directives. </w:t>
      </w:r>
      <w:r w:rsidR="00F43011" w:rsidRPr="004F30E7">
        <w:rPr>
          <w:rFonts w:asciiTheme="minorBidi" w:hAnsiTheme="minorBidi"/>
        </w:rPr>
        <w:t xml:space="preserve">The levels of environmental protection afforded by any updated legislation would depend on the political will of the elected government and could result in </w:t>
      </w:r>
      <w:r w:rsidR="00DE5F3D">
        <w:rPr>
          <w:rFonts w:asciiTheme="minorBidi" w:hAnsiTheme="minorBidi"/>
        </w:rPr>
        <w:t>differing</w:t>
      </w:r>
      <w:r w:rsidR="00F43011" w:rsidRPr="004F30E7">
        <w:rPr>
          <w:rFonts w:asciiTheme="minorBidi" w:hAnsiTheme="minorBidi"/>
        </w:rPr>
        <w:t xml:space="preserve"> levels of protection. However, until the post-exit scenario is known following the two-year negotiations, </w:t>
      </w:r>
      <w:r w:rsidR="00D91612">
        <w:rPr>
          <w:rFonts w:asciiTheme="minorBidi" w:hAnsiTheme="minorBidi"/>
        </w:rPr>
        <w:t>it is hard to comprehend how 40 years of European inspired legislation can be unpicked from our domestic law.</w:t>
      </w:r>
      <w:r w:rsidR="00DE5F3D">
        <w:rPr>
          <w:rFonts w:asciiTheme="minorBidi" w:hAnsiTheme="minorBidi"/>
        </w:rPr>
        <w:t xml:space="preserve"> </w:t>
      </w:r>
      <w:r w:rsidR="006F1955">
        <w:rPr>
          <w:rFonts w:asciiTheme="minorBidi" w:hAnsiTheme="minorBidi"/>
        </w:rPr>
        <w:br/>
      </w:r>
      <w:r w:rsidR="00DE5F3D" w:rsidRPr="006F1955">
        <w:rPr>
          <w:rFonts w:asciiTheme="minorBidi" w:hAnsiTheme="minorBidi"/>
          <w:sz w:val="16"/>
          <w:szCs w:val="16"/>
        </w:rPr>
        <w:t>(See</w:t>
      </w:r>
      <w:r w:rsidR="006F1955" w:rsidRPr="006F1955">
        <w:rPr>
          <w:rFonts w:asciiTheme="minorBidi" w:hAnsiTheme="minorBidi"/>
          <w:sz w:val="16"/>
          <w:szCs w:val="16"/>
        </w:rPr>
        <w:t>:</w:t>
      </w:r>
      <w:r w:rsidR="00DE5F3D" w:rsidRPr="006F1955">
        <w:rPr>
          <w:rFonts w:asciiTheme="minorBidi" w:hAnsiTheme="minorBidi"/>
          <w:sz w:val="16"/>
          <w:szCs w:val="16"/>
        </w:rPr>
        <w:t xml:space="preserve"> </w:t>
      </w:r>
      <w:r w:rsidR="0071390C" w:rsidRPr="006F1955">
        <w:rPr>
          <w:rFonts w:asciiTheme="minorBidi" w:hAnsiTheme="minorBidi"/>
          <w:sz w:val="16"/>
          <w:szCs w:val="16"/>
        </w:rPr>
        <w:t xml:space="preserve">Boyes, S.J. &amp; Elliott, </w:t>
      </w:r>
      <w:proofErr w:type="gramStart"/>
      <w:r w:rsidR="0071390C" w:rsidRPr="006F1955">
        <w:rPr>
          <w:rFonts w:asciiTheme="minorBidi" w:hAnsiTheme="minorBidi"/>
          <w:sz w:val="16"/>
          <w:szCs w:val="16"/>
        </w:rPr>
        <w:t>M</w:t>
      </w:r>
      <w:proofErr w:type="gramEnd"/>
      <w:r w:rsidR="0071390C" w:rsidRPr="006F1955">
        <w:rPr>
          <w:rFonts w:asciiTheme="minorBidi" w:hAnsiTheme="minorBidi"/>
          <w:sz w:val="16"/>
          <w:szCs w:val="16"/>
        </w:rPr>
        <w:t xml:space="preserve">. 2016. </w:t>
      </w:r>
      <w:r w:rsidR="0071390C" w:rsidRPr="006F1955">
        <w:rPr>
          <w:rFonts w:asciiTheme="minorBidi" w:hAnsiTheme="minorBidi"/>
          <w:i/>
          <w:iCs/>
          <w:sz w:val="16"/>
          <w:szCs w:val="16"/>
        </w:rPr>
        <w:t>Brexit</w:t>
      </w:r>
      <w:r w:rsidR="0071390C" w:rsidRPr="006F1955">
        <w:rPr>
          <w:rFonts w:asciiTheme="minorBidi" w:hAnsiTheme="minorBidi"/>
          <w:sz w:val="16"/>
          <w:szCs w:val="16"/>
        </w:rPr>
        <w:t>: The marine governance horrendogram just got more horrendous! Marine Pollution Bulletin, 111: 41-44</w:t>
      </w:r>
      <w:r w:rsidR="00DE5F3D" w:rsidRPr="006F1955">
        <w:rPr>
          <w:rFonts w:asciiTheme="minorBidi" w:hAnsiTheme="minorBidi"/>
          <w:sz w:val="16"/>
          <w:szCs w:val="16"/>
        </w:rPr>
        <w:t>.)</w:t>
      </w:r>
      <w:r w:rsidR="00DE5F3D">
        <w:rPr>
          <w:rFonts w:asciiTheme="minorBidi" w:hAnsiTheme="minorBidi"/>
          <w:sz w:val="20"/>
          <w:szCs w:val="20"/>
        </w:rPr>
        <w:t xml:space="preserve"> </w:t>
      </w:r>
    </w:p>
    <w:p w:rsidR="00DE5F3D" w:rsidRPr="004F30E7" w:rsidRDefault="00DE5F3D" w:rsidP="008264DD">
      <w:pPr>
        <w:jc w:val="both"/>
        <w:rPr>
          <w:rFonts w:asciiTheme="minorBidi" w:hAnsiTheme="minorBidi"/>
          <w:sz w:val="20"/>
          <w:szCs w:val="20"/>
        </w:rPr>
        <w:sectPr w:rsidR="00DE5F3D" w:rsidRPr="004F30E7" w:rsidSect="008264DD">
          <w:pgSz w:w="11906" w:h="16838"/>
          <w:pgMar w:top="851" w:right="1440" w:bottom="1276" w:left="1440" w:header="708" w:footer="708" w:gutter="0"/>
          <w:cols w:space="708"/>
          <w:docGrid w:linePitch="360"/>
        </w:sectPr>
      </w:pPr>
    </w:p>
    <w:p w:rsidR="0011481C" w:rsidRPr="00F43011" w:rsidRDefault="00F77124" w:rsidP="004F30E7">
      <w:pPr>
        <w:jc w:val="center"/>
        <w:rPr>
          <w:rFonts w:asciiTheme="minorBidi" w:hAnsiTheme="minorBidi"/>
        </w:rPr>
      </w:pPr>
      <w:r>
        <w:rPr>
          <w:rFonts w:asciiTheme="minorBidi" w:hAnsiTheme="minorBidi"/>
          <w:noProof/>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440.5pt;margin-top:417.75pt;width:254pt;height:7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" stroked="f">
            <v:textbox>
              <w:txbxContent>
                <w:p w:rsidR="004F30E7" w:rsidRPr="008264DD" w:rsidRDefault="004F30E7" w:rsidP="004F30E7">
                  <w:pPr>
                    <w:rPr>
                      <w:sz w:val="18"/>
                      <w:szCs w:val="18"/>
                    </w:rPr>
                  </w:pPr>
                  <w:r w:rsidRPr="008264DD">
                    <w:rPr>
                      <w:rFonts w:asciiTheme="minorBidi" w:hAnsiTheme="minorBidi"/>
                      <w:sz w:val="20"/>
                      <w:szCs w:val="20"/>
                    </w:rPr>
                    <w:t xml:space="preserve">Fig. 1. Marine environmental legislation horrendogram showing secondary environmental legislation enacting EU directives versus UK primary Acts of Parliament </w:t>
                  </w:r>
                  <w:r w:rsidRPr="008264DD">
                    <w:rPr>
                      <w:rFonts w:asciiTheme="minorBidi" w:hAnsiTheme="minorBidi"/>
                      <w:sz w:val="20"/>
                      <w:szCs w:val="20"/>
                    </w:rPr>
                    <w:br/>
                  </w:r>
                  <w:r w:rsidRPr="008264DD">
                    <w:rPr>
                      <w:sz w:val="18"/>
                      <w:szCs w:val="18"/>
                    </w:rPr>
                    <w:t xml:space="preserve">(Boyes &amp; Elliott, </w:t>
                  </w:r>
                  <w:r w:rsidR="00DE5F3D" w:rsidRPr="00DE5F3D">
                    <w:rPr>
                      <w:i/>
                      <w:sz w:val="18"/>
                      <w:szCs w:val="18"/>
                    </w:rPr>
                    <w:t xml:space="preserve">Mar. Poll. Bull. </w:t>
                  </w:r>
                  <w:r w:rsidR="00DE5F3D">
                    <w:rPr>
                      <w:sz w:val="18"/>
                      <w:szCs w:val="18"/>
                    </w:rPr>
                    <w:t xml:space="preserve">111:41-44, </w:t>
                  </w:r>
                  <w:r w:rsidRPr="008264DD">
                    <w:rPr>
                      <w:sz w:val="18"/>
                      <w:szCs w:val="18"/>
                    </w:rPr>
                    <w:t>2016)</w:t>
                  </w:r>
                </w:p>
              </w:txbxContent>
            </v:textbox>
          </v:shape>
        </w:pict>
      </w:r>
      <w:r w:rsidR="0011481C" w:rsidRPr="0011481C">
        <w:rPr>
          <w:noProof/>
        </w:rPr>
        <w:drawing>
          <wp:inline distT="0" distB="0" distL="0" distR="0">
            <wp:extent cx="7616825" cy="593669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0718" cy="5947523"/>
                    </a:xfrm>
                    <a:prstGeom prst="rect">
                      <a:avLst/>
                    </a:prstGeom>
                    <a:noFill/>
                    <a:ln>
                      <a:noFill/>
                    </a:ln>
                  </pic:spPr>
                </pic:pic>
              </a:graphicData>
            </a:graphic>
          </wp:inline>
        </w:drawing>
      </w:r>
    </w:p>
    <w:sectPr w:rsidR="0011481C" w:rsidRPr="00F43011" w:rsidSect="004F30E7">
      <w:pgSz w:w="16838" w:h="11906" w:orient="landscape"/>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124" w:rsidRDefault="00F77124" w:rsidP="00F43011">
      <w:pPr>
        <w:spacing w:after="0" w:line="240" w:lineRule="auto"/>
      </w:pPr>
      <w:r>
        <w:separator/>
      </w:r>
    </w:p>
  </w:endnote>
  <w:endnote w:type="continuationSeparator" w:id="0">
    <w:p w:rsidR="00F77124" w:rsidRDefault="00F77124" w:rsidP="00F4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124" w:rsidRDefault="00F77124" w:rsidP="00F43011">
      <w:pPr>
        <w:spacing w:after="0" w:line="240" w:lineRule="auto"/>
      </w:pPr>
      <w:r>
        <w:separator/>
      </w:r>
    </w:p>
  </w:footnote>
  <w:footnote w:type="continuationSeparator" w:id="0">
    <w:p w:rsidR="00F77124" w:rsidRDefault="00F77124" w:rsidP="00F43011">
      <w:pPr>
        <w:spacing w:after="0" w:line="240" w:lineRule="auto"/>
      </w:pPr>
      <w:r>
        <w:continuationSeparator/>
      </w:r>
    </w:p>
  </w:footnote>
  <w:footnote w:id="1">
    <w:p w:rsidR="0011481C" w:rsidRDefault="0011481C" w:rsidP="0011481C">
      <w:pPr>
        <w:pStyle w:val="FootnoteText"/>
      </w:pPr>
      <w:r>
        <w:rPr>
          <w:rStyle w:val="FootnoteReference"/>
        </w:rPr>
        <w:footnoteRef/>
      </w:r>
      <w:r>
        <w:t xml:space="preserve"> </w:t>
      </w:r>
      <w:r w:rsidRPr="00F43011">
        <w:rPr>
          <w:rFonts w:asciiTheme="minorBidi" w:hAnsiTheme="minorBidi"/>
          <w:sz w:val="16"/>
          <w:szCs w:val="16"/>
        </w:rPr>
        <w:t>However the simple act of triggering Article 50 has since been made the case of a High Court decision, stating that Members of Parliament and peers should vote on triggering Article 50, not the government. This is currently being appealed (Nov 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23549"/>
    <w:multiLevelType w:val="hybridMultilevel"/>
    <w:tmpl w:val="F542740C"/>
    <w:lvl w:ilvl="0" w:tplc="5860C900">
      <w:start w:val="1"/>
      <w:numFmt w:val="bullet"/>
      <w:lvlText w:val="•"/>
      <w:lvlJc w:val="left"/>
      <w:pPr>
        <w:tabs>
          <w:tab w:val="num" w:pos="720"/>
        </w:tabs>
        <w:ind w:left="720" w:hanging="360"/>
      </w:pPr>
      <w:rPr>
        <w:rFonts w:ascii="Arial" w:hAnsi="Arial" w:hint="default"/>
      </w:rPr>
    </w:lvl>
    <w:lvl w:ilvl="1" w:tplc="8564F2FC" w:tentative="1">
      <w:start w:val="1"/>
      <w:numFmt w:val="bullet"/>
      <w:lvlText w:val="•"/>
      <w:lvlJc w:val="left"/>
      <w:pPr>
        <w:tabs>
          <w:tab w:val="num" w:pos="1440"/>
        </w:tabs>
        <w:ind w:left="1440" w:hanging="360"/>
      </w:pPr>
      <w:rPr>
        <w:rFonts w:ascii="Arial" w:hAnsi="Arial" w:hint="default"/>
      </w:rPr>
    </w:lvl>
    <w:lvl w:ilvl="2" w:tplc="4C46A786" w:tentative="1">
      <w:start w:val="1"/>
      <w:numFmt w:val="bullet"/>
      <w:lvlText w:val="•"/>
      <w:lvlJc w:val="left"/>
      <w:pPr>
        <w:tabs>
          <w:tab w:val="num" w:pos="2160"/>
        </w:tabs>
        <w:ind w:left="2160" w:hanging="360"/>
      </w:pPr>
      <w:rPr>
        <w:rFonts w:ascii="Arial" w:hAnsi="Arial" w:hint="default"/>
      </w:rPr>
    </w:lvl>
    <w:lvl w:ilvl="3" w:tplc="70DC2796" w:tentative="1">
      <w:start w:val="1"/>
      <w:numFmt w:val="bullet"/>
      <w:lvlText w:val="•"/>
      <w:lvlJc w:val="left"/>
      <w:pPr>
        <w:tabs>
          <w:tab w:val="num" w:pos="2880"/>
        </w:tabs>
        <w:ind w:left="2880" w:hanging="360"/>
      </w:pPr>
      <w:rPr>
        <w:rFonts w:ascii="Arial" w:hAnsi="Arial" w:hint="default"/>
      </w:rPr>
    </w:lvl>
    <w:lvl w:ilvl="4" w:tplc="EEFCB8E2" w:tentative="1">
      <w:start w:val="1"/>
      <w:numFmt w:val="bullet"/>
      <w:lvlText w:val="•"/>
      <w:lvlJc w:val="left"/>
      <w:pPr>
        <w:tabs>
          <w:tab w:val="num" w:pos="3600"/>
        </w:tabs>
        <w:ind w:left="3600" w:hanging="360"/>
      </w:pPr>
      <w:rPr>
        <w:rFonts w:ascii="Arial" w:hAnsi="Arial" w:hint="default"/>
      </w:rPr>
    </w:lvl>
    <w:lvl w:ilvl="5" w:tplc="5922FE2C" w:tentative="1">
      <w:start w:val="1"/>
      <w:numFmt w:val="bullet"/>
      <w:lvlText w:val="•"/>
      <w:lvlJc w:val="left"/>
      <w:pPr>
        <w:tabs>
          <w:tab w:val="num" w:pos="4320"/>
        </w:tabs>
        <w:ind w:left="4320" w:hanging="360"/>
      </w:pPr>
      <w:rPr>
        <w:rFonts w:ascii="Arial" w:hAnsi="Arial" w:hint="default"/>
      </w:rPr>
    </w:lvl>
    <w:lvl w:ilvl="6" w:tplc="6248F7EE" w:tentative="1">
      <w:start w:val="1"/>
      <w:numFmt w:val="bullet"/>
      <w:lvlText w:val="•"/>
      <w:lvlJc w:val="left"/>
      <w:pPr>
        <w:tabs>
          <w:tab w:val="num" w:pos="5040"/>
        </w:tabs>
        <w:ind w:left="5040" w:hanging="360"/>
      </w:pPr>
      <w:rPr>
        <w:rFonts w:ascii="Arial" w:hAnsi="Arial" w:hint="default"/>
      </w:rPr>
    </w:lvl>
    <w:lvl w:ilvl="7" w:tplc="2340DAC6" w:tentative="1">
      <w:start w:val="1"/>
      <w:numFmt w:val="bullet"/>
      <w:lvlText w:val="•"/>
      <w:lvlJc w:val="left"/>
      <w:pPr>
        <w:tabs>
          <w:tab w:val="num" w:pos="5760"/>
        </w:tabs>
        <w:ind w:left="5760" w:hanging="360"/>
      </w:pPr>
      <w:rPr>
        <w:rFonts w:ascii="Arial" w:hAnsi="Arial" w:hint="default"/>
      </w:rPr>
    </w:lvl>
    <w:lvl w:ilvl="8" w:tplc="83CE034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71390C"/>
    <w:rsid w:val="0011481C"/>
    <w:rsid w:val="001A0FA0"/>
    <w:rsid w:val="00237CE9"/>
    <w:rsid w:val="002A364B"/>
    <w:rsid w:val="002D2439"/>
    <w:rsid w:val="003253C7"/>
    <w:rsid w:val="00353680"/>
    <w:rsid w:val="0041502C"/>
    <w:rsid w:val="004A7D26"/>
    <w:rsid w:val="004E0910"/>
    <w:rsid w:val="004F30E7"/>
    <w:rsid w:val="005420A6"/>
    <w:rsid w:val="00563DEA"/>
    <w:rsid w:val="006D5029"/>
    <w:rsid w:val="006D5A40"/>
    <w:rsid w:val="006F1955"/>
    <w:rsid w:val="006F3DBE"/>
    <w:rsid w:val="0071390C"/>
    <w:rsid w:val="007A20EC"/>
    <w:rsid w:val="008264DD"/>
    <w:rsid w:val="00854FAF"/>
    <w:rsid w:val="008A45DF"/>
    <w:rsid w:val="008F279A"/>
    <w:rsid w:val="009F27D6"/>
    <w:rsid w:val="00A11A90"/>
    <w:rsid w:val="00A449C1"/>
    <w:rsid w:val="00A95368"/>
    <w:rsid w:val="00BF5543"/>
    <w:rsid w:val="00C16C5F"/>
    <w:rsid w:val="00CE5B31"/>
    <w:rsid w:val="00D130C6"/>
    <w:rsid w:val="00D47062"/>
    <w:rsid w:val="00D91612"/>
    <w:rsid w:val="00DE5F3D"/>
    <w:rsid w:val="00E93025"/>
    <w:rsid w:val="00F43011"/>
    <w:rsid w:val="00F52FC6"/>
    <w:rsid w:val="00F771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E9D651D-82B8-4CC0-B166-A035877D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90C"/>
    <w:rPr>
      <w:color w:val="0563C1" w:themeColor="hyperlink"/>
      <w:u w:val="single"/>
    </w:rPr>
  </w:style>
  <w:style w:type="paragraph" w:styleId="FootnoteText">
    <w:name w:val="footnote text"/>
    <w:basedOn w:val="Normal"/>
    <w:link w:val="FootnoteTextChar"/>
    <w:uiPriority w:val="99"/>
    <w:semiHidden/>
    <w:unhideWhenUsed/>
    <w:rsid w:val="00F430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3011"/>
    <w:rPr>
      <w:sz w:val="20"/>
      <w:szCs w:val="20"/>
    </w:rPr>
  </w:style>
  <w:style w:type="character" w:styleId="FootnoteReference">
    <w:name w:val="footnote reference"/>
    <w:basedOn w:val="DefaultParagraphFont"/>
    <w:uiPriority w:val="99"/>
    <w:semiHidden/>
    <w:unhideWhenUsed/>
    <w:rsid w:val="00F43011"/>
    <w:rPr>
      <w:vertAlign w:val="superscript"/>
    </w:rPr>
  </w:style>
  <w:style w:type="paragraph" w:styleId="NormalWeb">
    <w:name w:val="Normal (Web)"/>
    <w:basedOn w:val="Normal"/>
    <w:uiPriority w:val="99"/>
    <w:semiHidden/>
    <w:unhideWhenUsed/>
    <w:rsid w:val="001148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0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F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38147">
      <w:bodyDiv w:val="1"/>
      <w:marLeft w:val="0"/>
      <w:marRight w:val="0"/>
      <w:marTop w:val="0"/>
      <w:marBottom w:val="0"/>
      <w:divBdr>
        <w:top w:val="none" w:sz="0" w:space="0" w:color="auto"/>
        <w:left w:val="none" w:sz="0" w:space="0" w:color="auto"/>
        <w:bottom w:val="none" w:sz="0" w:space="0" w:color="auto"/>
        <w:right w:val="none" w:sz="0" w:space="0" w:color="auto"/>
      </w:divBdr>
    </w:div>
    <w:div w:id="172307058">
      <w:bodyDiv w:val="1"/>
      <w:marLeft w:val="0"/>
      <w:marRight w:val="0"/>
      <w:marTop w:val="0"/>
      <w:marBottom w:val="0"/>
      <w:divBdr>
        <w:top w:val="none" w:sz="0" w:space="0" w:color="auto"/>
        <w:left w:val="none" w:sz="0" w:space="0" w:color="auto"/>
        <w:bottom w:val="none" w:sz="0" w:space="0" w:color="auto"/>
        <w:right w:val="none" w:sz="0" w:space="0" w:color="auto"/>
      </w:divBdr>
    </w:div>
    <w:div w:id="285086307">
      <w:bodyDiv w:val="1"/>
      <w:marLeft w:val="0"/>
      <w:marRight w:val="0"/>
      <w:marTop w:val="0"/>
      <w:marBottom w:val="0"/>
      <w:divBdr>
        <w:top w:val="none" w:sz="0" w:space="0" w:color="auto"/>
        <w:left w:val="none" w:sz="0" w:space="0" w:color="auto"/>
        <w:bottom w:val="none" w:sz="0" w:space="0" w:color="auto"/>
        <w:right w:val="none" w:sz="0" w:space="0" w:color="auto"/>
      </w:divBdr>
    </w:div>
    <w:div w:id="826823902">
      <w:bodyDiv w:val="1"/>
      <w:marLeft w:val="0"/>
      <w:marRight w:val="0"/>
      <w:marTop w:val="0"/>
      <w:marBottom w:val="0"/>
      <w:divBdr>
        <w:top w:val="none" w:sz="0" w:space="0" w:color="auto"/>
        <w:left w:val="none" w:sz="0" w:space="0" w:color="auto"/>
        <w:bottom w:val="none" w:sz="0" w:space="0" w:color="auto"/>
        <w:right w:val="none" w:sz="0" w:space="0" w:color="auto"/>
      </w:divBdr>
    </w:div>
    <w:div w:id="938290702">
      <w:bodyDiv w:val="1"/>
      <w:marLeft w:val="0"/>
      <w:marRight w:val="0"/>
      <w:marTop w:val="0"/>
      <w:marBottom w:val="0"/>
      <w:divBdr>
        <w:top w:val="none" w:sz="0" w:space="0" w:color="auto"/>
        <w:left w:val="none" w:sz="0" w:space="0" w:color="auto"/>
        <w:bottom w:val="none" w:sz="0" w:space="0" w:color="auto"/>
        <w:right w:val="none" w:sz="0" w:space="0" w:color="auto"/>
      </w:divBdr>
      <w:divsChild>
        <w:div w:id="11225903">
          <w:marLeft w:val="418"/>
          <w:marRight w:val="0"/>
          <w:marTop w:val="180"/>
          <w:marBottom w:val="180"/>
          <w:divBdr>
            <w:top w:val="none" w:sz="0" w:space="0" w:color="auto"/>
            <w:left w:val="none" w:sz="0" w:space="0" w:color="auto"/>
            <w:bottom w:val="none" w:sz="0" w:space="0" w:color="auto"/>
            <w:right w:val="none" w:sz="0" w:space="0" w:color="auto"/>
          </w:divBdr>
        </w:div>
        <w:div w:id="777213112">
          <w:marLeft w:val="418"/>
          <w:marRight w:val="0"/>
          <w:marTop w:val="180"/>
          <w:marBottom w:val="180"/>
          <w:divBdr>
            <w:top w:val="none" w:sz="0" w:space="0" w:color="auto"/>
            <w:left w:val="none" w:sz="0" w:space="0" w:color="auto"/>
            <w:bottom w:val="none" w:sz="0" w:space="0" w:color="auto"/>
            <w:right w:val="none" w:sz="0" w:space="0" w:color="auto"/>
          </w:divBdr>
        </w:div>
      </w:divsChild>
    </w:div>
    <w:div w:id="1112015528">
      <w:bodyDiv w:val="1"/>
      <w:marLeft w:val="0"/>
      <w:marRight w:val="0"/>
      <w:marTop w:val="0"/>
      <w:marBottom w:val="0"/>
      <w:divBdr>
        <w:top w:val="none" w:sz="0" w:space="0" w:color="auto"/>
        <w:left w:val="none" w:sz="0" w:space="0" w:color="auto"/>
        <w:bottom w:val="none" w:sz="0" w:space="0" w:color="auto"/>
        <w:right w:val="none" w:sz="0" w:space="0" w:color="auto"/>
      </w:divBdr>
    </w:div>
    <w:div w:id="1477600043">
      <w:bodyDiv w:val="1"/>
      <w:marLeft w:val="0"/>
      <w:marRight w:val="0"/>
      <w:marTop w:val="0"/>
      <w:marBottom w:val="0"/>
      <w:divBdr>
        <w:top w:val="none" w:sz="0" w:space="0" w:color="auto"/>
        <w:left w:val="none" w:sz="0" w:space="0" w:color="auto"/>
        <w:bottom w:val="none" w:sz="0" w:space="0" w:color="auto"/>
        <w:right w:val="none" w:sz="0" w:space="0" w:color="auto"/>
      </w:divBdr>
    </w:div>
    <w:div w:id="149887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C38D8-2124-47FE-8184-69A4BD98A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 Boyes</dc:creator>
  <cp:keywords/>
  <dc:description/>
  <cp:lastModifiedBy>Sue J Boyes</cp:lastModifiedBy>
  <cp:revision>10</cp:revision>
  <dcterms:created xsi:type="dcterms:W3CDTF">2016-11-15T09:39:00Z</dcterms:created>
  <dcterms:modified xsi:type="dcterms:W3CDTF">2016-11-15T16:22:00Z</dcterms:modified>
</cp:coreProperties>
</file>